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95395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en-US"/>
        </w:rPr>
      </w:pPr>
      <w:bookmarkStart w:id="0" w:name="_GoBack"/>
      <w:bookmarkEnd w:id="0"/>
      <w:proofErr w:type="spellStart"/>
      <w:r w:rsidRPr="007E5223">
        <w:rPr>
          <w:rFonts w:ascii="Times New Roman" w:hAnsi="Times New Roman"/>
          <w:b/>
          <w:sz w:val="26"/>
          <w:szCs w:val="26"/>
          <w:lang w:val="en-US"/>
        </w:rPr>
        <w:t>HmtDB</w:t>
      </w:r>
      <w:proofErr w:type="spellEnd"/>
      <w:r w:rsidRPr="007E5223">
        <w:rPr>
          <w:rFonts w:ascii="Times New Roman" w:hAnsi="Times New Roman"/>
          <w:b/>
          <w:sz w:val="26"/>
          <w:szCs w:val="26"/>
          <w:lang w:val="en-US"/>
        </w:rPr>
        <w:t xml:space="preserve"> tracks</w:t>
      </w:r>
    </w:p>
    <w:p w14:paraId="1908483C" w14:textId="7382919A" w:rsidR="007E5223" w:rsidRPr="007E5223" w:rsidRDefault="007E5223" w:rsidP="007E5223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E5223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proofErr w:type="spellStart"/>
      <w:r w:rsidRPr="007E5223">
        <w:rPr>
          <w:rFonts w:ascii="Times New Roman" w:hAnsi="Times New Roman" w:cs="Times New Roman"/>
          <w:sz w:val="22"/>
          <w:szCs w:val="22"/>
          <w:lang w:val="en-US"/>
        </w:rPr>
        <w:t>HmtDB</w:t>
      </w:r>
      <w:proofErr w:type="spellEnd"/>
      <w:r w:rsidRPr="007E5223">
        <w:rPr>
          <w:rFonts w:ascii="Times New Roman" w:hAnsi="Times New Roman" w:cs="Times New Roman"/>
          <w:sz w:val="22"/>
          <w:szCs w:val="22"/>
          <w:lang w:val="en-US"/>
        </w:rPr>
        <w:t xml:space="preserve"> tracks are a comprehensive collection of all the variants annotated in the</w:t>
      </w:r>
      <w:r w:rsidRPr="007E5223" w:rsidDel="00DE11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E5223">
        <w:rPr>
          <w:rFonts w:ascii="Times New Roman" w:hAnsi="Times New Roman" w:cs="Times New Roman"/>
          <w:sz w:val="22"/>
          <w:szCs w:val="22"/>
          <w:lang w:val="en-US"/>
        </w:rPr>
        <w:t xml:space="preserve">Human mitochondrial database </w:t>
      </w:r>
      <w:proofErr w:type="spellStart"/>
      <w:r w:rsidRPr="007E5223">
        <w:rPr>
          <w:rFonts w:ascii="Times New Roman" w:hAnsi="Times New Roman" w:cs="Times New Roman"/>
          <w:sz w:val="22"/>
          <w:szCs w:val="22"/>
          <w:lang w:val="en-US"/>
        </w:rPr>
        <w:t>HmtDB</w:t>
      </w:r>
      <w:proofErr w:type="spellEnd"/>
      <w:r w:rsidR="008470AA">
        <w:rPr>
          <w:rFonts w:ascii="Times New Roman" w:hAnsi="Times New Roman" w:cs="Times New Roman"/>
          <w:sz w:val="22"/>
          <w:szCs w:val="22"/>
          <w:lang w:val="en-US"/>
        </w:rPr>
        <w:t xml:space="preserve"> [1] </w:t>
      </w:r>
      <w:r w:rsidR="00136A5E">
        <w:rPr>
          <w:rFonts w:ascii="Times New Roman" w:hAnsi="Times New Roman" w:cs="Times New Roman"/>
          <w:sz w:val="22"/>
          <w:szCs w:val="22"/>
          <w:lang w:val="en-US"/>
        </w:rPr>
        <w:t>that contains 32,922</w:t>
      </w:r>
      <w:r w:rsidRPr="007E5223">
        <w:rPr>
          <w:rFonts w:ascii="Times New Roman" w:hAnsi="Times New Roman" w:cs="Times New Roman"/>
          <w:sz w:val="22"/>
          <w:szCs w:val="22"/>
          <w:lang w:val="en-US"/>
        </w:rPr>
        <w:t xml:space="preserve"> human mitochondrial genomes </w:t>
      </w:r>
      <w:r w:rsidRPr="007E5223">
        <w:rPr>
          <w:rFonts w:ascii="Times New Roman" w:hAnsi="Times New Roman" w:cs="Times New Roman"/>
          <w:sz w:val="22"/>
          <w:szCs w:val="22"/>
        </w:rPr>
        <w:t xml:space="preserve">from healthy people and patients </w:t>
      </w:r>
      <w:r w:rsidRPr="007E5223">
        <w:rPr>
          <w:rFonts w:ascii="Times New Roman" w:hAnsi="Times New Roman" w:cs="Times New Roman"/>
          <w:sz w:val="22"/>
          <w:szCs w:val="22"/>
          <w:lang w:val="en-US"/>
        </w:rPr>
        <w:t xml:space="preserve">derived from </w:t>
      </w:r>
      <w:proofErr w:type="spellStart"/>
      <w:r w:rsidRPr="007E5223">
        <w:rPr>
          <w:rFonts w:ascii="Times New Roman" w:hAnsi="Times New Roman" w:cs="Times New Roman"/>
          <w:sz w:val="22"/>
          <w:szCs w:val="22"/>
          <w:lang w:val="en-US"/>
        </w:rPr>
        <w:t>GenBank</w:t>
      </w:r>
      <w:proofErr w:type="spellEnd"/>
      <w:r w:rsidRPr="007E5223">
        <w:rPr>
          <w:rFonts w:ascii="Times New Roman" w:hAnsi="Times New Roman" w:cs="Times New Roman"/>
          <w:sz w:val="22"/>
          <w:szCs w:val="22"/>
          <w:lang w:val="en-US"/>
        </w:rPr>
        <w:t xml:space="preserve"> or submitted by end users. Five continent-specific subsets are identified within the two main datasets. The data contained in the tracks refer only to complete genomes.</w:t>
      </w:r>
    </w:p>
    <w:p w14:paraId="6DC7ECC0" w14:textId="77777777" w:rsidR="007E5223" w:rsidRPr="007E5223" w:rsidRDefault="007E5223" w:rsidP="007E5223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9D2827A" w14:textId="77777777" w:rsidR="007E5223" w:rsidRPr="007E5223" w:rsidRDefault="007E5223" w:rsidP="007E5223">
      <w:pPr>
        <w:pStyle w:val="HTMLPreformatted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E5223">
        <w:rPr>
          <w:rFonts w:ascii="Times New Roman" w:hAnsi="Times New Roman" w:cs="Times New Roman"/>
          <w:b/>
          <w:sz w:val="26"/>
          <w:szCs w:val="26"/>
          <w:lang w:val="en-US"/>
        </w:rPr>
        <w:t>Methods</w:t>
      </w:r>
    </w:p>
    <w:p w14:paraId="0BE45E8F" w14:textId="77777777" w:rsidR="007E5223" w:rsidRPr="007E5223" w:rsidRDefault="007E5223" w:rsidP="007E5223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7E5223">
        <w:rPr>
          <w:rFonts w:ascii="Times New Roman" w:hAnsi="Times New Roman" w:cs="Times New Roman"/>
          <w:sz w:val="22"/>
          <w:szCs w:val="22"/>
          <w:lang w:val="en-US"/>
        </w:rPr>
        <w:t>An accurate protocol is applied to the healthy and the pathologic datasets as well as their continent-specific subsets aiming to characterize the variability status of each variant site.</w:t>
      </w:r>
    </w:p>
    <w:p w14:paraId="530C5E6D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E5223">
        <w:rPr>
          <w:rFonts w:ascii="Times New Roman" w:hAnsi="Times New Roman"/>
          <w:sz w:val="22"/>
          <w:szCs w:val="22"/>
          <w:lang w:val="en-US"/>
        </w:rPr>
        <w:t>A revised version of</w:t>
      </w:r>
      <w:r w:rsidRPr="007E5223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SiteVar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 algorithm [2] performed on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multialigned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 genomes is used to calculate site-specific variability score for each position in the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multialignment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>. Site-specific amino acid variability is also estimated for protein</w:t>
      </w:r>
      <w:r w:rsidRPr="007E5223" w:rsidDel="00450DEF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7E5223">
        <w:rPr>
          <w:rFonts w:ascii="Times New Roman" w:hAnsi="Times New Roman"/>
          <w:sz w:val="22"/>
          <w:szCs w:val="22"/>
          <w:lang w:val="en-US"/>
        </w:rPr>
        <w:t xml:space="preserve">encoding genes applying a suitable version of </w:t>
      </w:r>
      <w:proofErr w:type="spellStart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MitVarProt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 algorithm [3].</w:t>
      </w:r>
    </w:p>
    <w:p w14:paraId="1C8F6A92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E5223">
        <w:rPr>
          <w:rFonts w:ascii="Times New Roman" w:hAnsi="Times New Roman"/>
          <w:sz w:val="22"/>
          <w:szCs w:val="22"/>
          <w:lang w:val="en-US"/>
        </w:rPr>
        <w:t>Both nucleotide and amino acid variability scores range between 0 and 1. The score is:</w:t>
      </w:r>
    </w:p>
    <w:p w14:paraId="44F816E4" w14:textId="77777777" w:rsidR="007E5223" w:rsidRPr="007E5223" w:rsidRDefault="007E5223" w:rsidP="007E52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E5223">
        <w:rPr>
          <w:rFonts w:ascii="Times New Roman" w:hAnsi="Times New Roman"/>
          <w:sz w:val="22"/>
          <w:szCs w:val="22"/>
          <w:lang w:val="en-US"/>
        </w:rPr>
        <w:t>0 if all the genomes report the same allele in the considered site</w:t>
      </w:r>
    </w:p>
    <w:p w14:paraId="7C92F6FA" w14:textId="77777777" w:rsidR="007E5223" w:rsidRPr="007E5223" w:rsidRDefault="007E5223" w:rsidP="007E522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E5223">
        <w:rPr>
          <w:rFonts w:ascii="Times New Roman" w:hAnsi="Times New Roman"/>
          <w:sz w:val="22"/>
          <w:szCs w:val="22"/>
          <w:lang w:val="en-US"/>
        </w:rPr>
        <w:t>&gt; 0 if more alleles are observed in the same site.</w:t>
      </w:r>
    </w:p>
    <w:p w14:paraId="2D19BFF8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E5223">
        <w:rPr>
          <w:rFonts w:ascii="Times New Roman" w:hAnsi="Times New Roman"/>
          <w:sz w:val="22"/>
          <w:szCs w:val="22"/>
          <w:lang w:val="en-US"/>
        </w:rPr>
        <w:t>The higher the number and the frequency of different alleles annotated for a specific site, the higher the score calculated for that position.</w:t>
      </w:r>
    </w:p>
    <w:p w14:paraId="4FE65D57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HmtDB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 tracks are generated with respect to both mitochondrial reference sequences,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rCRS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 (revised Cambridge Reference Sequence) and RSRS (Reconstructed Sapiens Reference sequence), differing in 52 positions [4]. </w:t>
      </w:r>
      <w:r w:rsidRPr="007E5223">
        <w:rPr>
          <w:rFonts w:ascii="Times New Roman" w:hAnsi="Times New Roman"/>
          <w:sz w:val="22"/>
          <w:szCs w:val="22"/>
        </w:rPr>
        <w:t>Manual curation is done to ensure accuracy.</w:t>
      </w:r>
    </w:p>
    <w:p w14:paraId="5397C10D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FD5DF85" w14:textId="1CD12D38" w:rsid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7E5223">
        <w:rPr>
          <w:rFonts w:ascii="Times New Roman" w:hAnsi="Times New Roman"/>
          <w:b/>
          <w:sz w:val="26"/>
          <w:szCs w:val="26"/>
          <w:lang w:val="en-US"/>
        </w:rPr>
        <w:t>Release I</w:t>
      </w:r>
      <w:r w:rsidR="008470AA">
        <w:rPr>
          <w:rFonts w:ascii="Times New Roman" w:hAnsi="Times New Roman"/>
          <w:b/>
          <w:sz w:val="26"/>
          <w:szCs w:val="26"/>
          <w:lang w:val="en-US"/>
        </w:rPr>
        <w:t>I</w:t>
      </w:r>
      <w:r w:rsidR="00136A5E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E5223">
        <w:rPr>
          <w:rFonts w:ascii="Times New Roman" w:hAnsi="Times New Roman"/>
          <w:b/>
          <w:sz w:val="26"/>
          <w:szCs w:val="26"/>
          <w:lang w:val="en-US"/>
        </w:rPr>
        <w:t>: some numbers</w:t>
      </w:r>
    </w:p>
    <w:p w14:paraId="1FC07B76" w14:textId="77777777" w:rsidR="00136A5E" w:rsidRPr="007E5223" w:rsidRDefault="00136A5E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14:paraId="4AECDC50" w14:textId="437CD297" w:rsidR="007E5223" w:rsidRPr="007E5223" w:rsidRDefault="004972D9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10068B">
        <w:rPr>
          <w:rFonts w:ascii="Times New Roman" w:hAnsi="Times New Roman"/>
          <w:b/>
          <w:sz w:val="22"/>
          <w:szCs w:val="22"/>
          <w:lang w:val="en-US"/>
        </w:rPr>
        <w:t>HmtDB</w:t>
      </w:r>
      <w:proofErr w:type="spellEnd"/>
      <w:r w:rsidRPr="0010068B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10068B">
        <w:rPr>
          <w:rFonts w:ascii="Times New Roman" w:hAnsi="Times New Roman"/>
          <w:b/>
          <w:sz w:val="22"/>
          <w:szCs w:val="22"/>
          <w:lang w:val="en-US"/>
        </w:rPr>
        <w:t>rCRS</w:t>
      </w:r>
      <w:proofErr w:type="spellEnd"/>
      <w:r w:rsidRPr="0010068B">
        <w:rPr>
          <w:rFonts w:ascii="Times New Roman" w:hAnsi="Times New Roman"/>
          <w:b/>
          <w:sz w:val="22"/>
          <w:szCs w:val="22"/>
          <w:lang w:val="en-US"/>
        </w:rPr>
        <w:t xml:space="preserve"> tracks</w:t>
      </w:r>
      <w:r w:rsidR="003F502C">
        <w:rPr>
          <w:rFonts w:ascii="Times New Roman" w:hAnsi="Times New Roman"/>
          <w:sz w:val="22"/>
          <w:szCs w:val="22"/>
          <w:lang w:val="en-US"/>
        </w:rPr>
        <w:t>: 21525</w:t>
      </w:r>
      <w:r w:rsidR="007E5223" w:rsidRPr="007E522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F502C">
        <w:rPr>
          <w:rFonts w:ascii="Times New Roman" w:hAnsi="Times New Roman"/>
          <w:sz w:val="22"/>
          <w:szCs w:val="22"/>
          <w:lang w:val="en-US"/>
        </w:rPr>
        <w:t>nucleotide variants within 281</w:t>
      </w:r>
      <w:r w:rsidR="00945E80">
        <w:rPr>
          <w:rFonts w:ascii="Times New Roman" w:hAnsi="Times New Roman"/>
          <w:sz w:val="22"/>
          <w:szCs w:val="22"/>
          <w:lang w:val="en-US"/>
        </w:rPr>
        <w:t>9</w:t>
      </w:r>
      <w:r w:rsidR="003F502C">
        <w:rPr>
          <w:rFonts w:ascii="Times New Roman" w:hAnsi="Times New Roman"/>
          <w:sz w:val="22"/>
          <w:szCs w:val="22"/>
          <w:lang w:val="en-US"/>
        </w:rPr>
        <w:t>6</w:t>
      </w:r>
      <w:r w:rsidR="007E5223" w:rsidRPr="007E5223">
        <w:rPr>
          <w:rFonts w:ascii="Times New Roman" w:hAnsi="Times New Roman"/>
          <w:sz w:val="22"/>
          <w:szCs w:val="22"/>
          <w:lang w:val="en-US"/>
        </w:rPr>
        <w:t xml:space="preserve"> healthy genomes: </w:t>
      </w:r>
      <w:r w:rsidR="003F502C">
        <w:rPr>
          <w:rFonts w:ascii="Times New Roman" w:hAnsi="Times New Roman"/>
          <w:sz w:val="22"/>
          <w:szCs w:val="22"/>
          <w:lang w:val="en-US"/>
        </w:rPr>
        <w:t>15070</w:t>
      </w:r>
      <w:r w:rsidR="007E5223" w:rsidRPr="007E5223">
        <w:rPr>
          <w:rFonts w:ascii="Times New Roman" w:hAnsi="Times New Roman"/>
          <w:sz w:val="22"/>
          <w:szCs w:val="22"/>
          <w:lang w:val="en-US"/>
        </w:rPr>
        <w:t xml:space="preserve"> SNPs (</w:t>
      </w:r>
      <w:r w:rsidR="003F502C">
        <w:rPr>
          <w:rFonts w:ascii="Times New Roman" w:hAnsi="Times New Roman"/>
          <w:sz w:val="22"/>
          <w:szCs w:val="22"/>
          <w:lang w:val="en-US"/>
        </w:rPr>
        <w:t>10941 transitions, 4050</w:t>
      </w:r>
      <w:r w:rsidR="007E5223" w:rsidRPr="007E522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E5223" w:rsidRPr="007E5223">
        <w:rPr>
          <w:rFonts w:ascii="Times New Roman" w:hAnsi="Times New Roman"/>
          <w:sz w:val="22"/>
          <w:szCs w:val="22"/>
          <w:lang w:val="en-US"/>
        </w:rPr>
        <w:t>transvertions</w:t>
      </w:r>
      <w:proofErr w:type="spellEnd"/>
      <w:r w:rsidR="003F502C">
        <w:rPr>
          <w:rFonts w:ascii="Times New Roman" w:hAnsi="Times New Roman"/>
          <w:sz w:val="22"/>
          <w:szCs w:val="22"/>
          <w:lang w:val="en-US"/>
        </w:rPr>
        <w:t>, 79</w:t>
      </w:r>
      <w:r w:rsidR="00945E80">
        <w:rPr>
          <w:rFonts w:ascii="Times New Roman" w:hAnsi="Times New Roman"/>
          <w:sz w:val="22"/>
          <w:szCs w:val="22"/>
          <w:lang w:val="en-US"/>
        </w:rPr>
        <w:t xml:space="preserve"> transitions/</w:t>
      </w:r>
      <w:r w:rsidR="00945E80" w:rsidRPr="00945E8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945E80" w:rsidRPr="007E5223">
        <w:rPr>
          <w:rFonts w:ascii="Times New Roman" w:hAnsi="Times New Roman"/>
          <w:sz w:val="22"/>
          <w:szCs w:val="22"/>
          <w:lang w:val="en-US"/>
        </w:rPr>
        <w:t>transvertions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11B07">
        <w:rPr>
          <w:rFonts w:ascii="Times New Roman" w:hAnsi="Times New Roman"/>
          <w:sz w:val="22"/>
          <w:szCs w:val="22"/>
          <w:lang w:val="en-US"/>
        </w:rPr>
        <w:t>(</w:t>
      </w:r>
      <w:r w:rsidR="00A11B07" w:rsidRPr="00A11B07">
        <w:rPr>
          <w:rFonts w:ascii="Times New Roman" w:hAnsi="Times New Roman"/>
          <w:sz w:val="22"/>
          <w:szCs w:val="22"/>
          <w:lang w:val="en-US"/>
        </w:rPr>
        <w:t>due to the presence of nucleotide ambiguity</w:t>
      </w:r>
      <w:r w:rsidR="007E5223" w:rsidRPr="007E5223">
        <w:rPr>
          <w:rFonts w:ascii="Times New Roman" w:hAnsi="Times New Roman"/>
          <w:sz w:val="22"/>
          <w:szCs w:val="22"/>
          <w:lang w:val="en-US"/>
        </w:rPr>
        <w:t>)</w:t>
      </w:r>
      <w:r w:rsidR="00A11B07">
        <w:rPr>
          <w:rFonts w:ascii="Times New Roman" w:hAnsi="Times New Roman"/>
          <w:sz w:val="22"/>
          <w:szCs w:val="22"/>
          <w:lang w:val="en-US"/>
        </w:rPr>
        <w:t>)</w:t>
      </w:r>
      <w:r w:rsidR="007E5223" w:rsidRPr="007E5223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3F502C">
        <w:rPr>
          <w:rFonts w:ascii="Times New Roman" w:hAnsi="Times New Roman"/>
          <w:sz w:val="22"/>
          <w:szCs w:val="22"/>
          <w:lang w:val="en-US"/>
        </w:rPr>
        <w:t xml:space="preserve">640 </w:t>
      </w:r>
      <w:proofErr w:type="spellStart"/>
      <w:r w:rsidR="003F502C">
        <w:rPr>
          <w:rFonts w:ascii="Times New Roman" w:hAnsi="Times New Roman"/>
          <w:sz w:val="22"/>
          <w:szCs w:val="22"/>
          <w:lang w:val="en-US"/>
        </w:rPr>
        <w:t>indels</w:t>
      </w:r>
      <w:proofErr w:type="spellEnd"/>
      <w:r w:rsidR="003F502C">
        <w:rPr>
          <w:rFonts w:ascii="Times New Roman" w:hAnsi="Times New Roman"/>
          <w:sz w:val="22"/>
          <w:szCs w:val="22"/>
          <w:lang w:val="en-US"/>
        </w:rPr>
        <w:t xml:space="preserve"> (347 deletions, 293</w:t>
      </w:r>
      <w:r w:rsidR="007E5223" w:rsidRPr="007E5223">
        <w:rPr>
          <w:rFonts w:ascii="Times New Roman" w:hAnsi="Times New Roman"/>
          <w:sz w:val="22"/>
          <w:szCs w:val="22"/>
          <w:lang w:val="en-US"/>
        </w:rPr>
        <w:t xml:space="preserve"> insertions</w:t>
      </w:r>
      <w:r w:rsidR="00A11B07">
        <w:rPr>
          <w:rFonts w:ascii="Times New Roman" w:hAnsi="Times New Roman"/>
          <w:sz w:val="22"/>
          <w:szCs w:val="22"/>
          <w:lang w:val="en-US"/>
        </w:rPr>
        <w:t xml:space="preserve">). </w:t>
      </w:r>
    </w:p>
    <w:p w14:paraId="7BCCD196" w14:textId="1BFA020A" w:rsidR="007E5223" w:rsidRDefault="00EB081E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5815</w:t>
      </w:r>
      <w:r w:rsidR="007E5223" w:rsidRPr="007E5223">
        <w:rPr>
          <w:rFonts w:ascii="Times New Roman" w:hAnsi="Times New Roman"/>
          <w:sz w:val="22"/>
          <w:szCs w:val="22"/>
          <w:lang w:val="en-US"/>
        </w:rPr>
        <w:t xml:space="preserve"> nucleotide variants within </w:t>
      </w:r>
      <w:r w:rsidR="003F502C">
        <w:rPr>
          <w:rFonts w:ascii="Times New Roman" w:hAnsi="Times New Roman"/>
          <w:sz w:val="22"/>
          <w:szCs w:val="22"/>
          <w:lang w:val="en-US"/>
        </w:rPr>
        <w:t>3539</w:t>
      </w:r>
      <w:r w:rsidR="007E5223" w:rsidRPr="007E5223">
        <w:rPr>
          <w:rFonts w:ascii="Times New Roman" w:hAnsi="Times New Roman"/>
          <w:sz w:val="22"/>
          <w:szCs w:val="22"/>
          <w:lang w:val="en-US"/>
        </w:rPr>
        <w:t xml:space="preserve"> diseased genomes: </w:t>
      </w:r>
      <w:r>
        <w:rPr>
          <w:rFonts w:ascii="Times New Roman" w:hAnsi="Times New Roman"/>
          <w:sz w:val="22"/>
          <w:szCs w:val="22"/>
          <w:lang w:val="en-US"/>
        </w:rPr>
        <w:t>5505</w:t>
      </w:r>
      <w:r w:rsidR="007E5223" w:rsidRPr="007E5223">
        <w:rPr>
          <w:rFonts w:ascii="Times New Roman" w:hAnsi="Times New Roman"/>
          <w:sz w:val="22"/>
          <w:szCs w:val="22"/>
          <w:lang w:val="en-US"/>
        </w:rPr>
        <w:t xml:space="preserve"> SNPs (</w:t>
      </w:r>
      <w:r>
        <w:rPr>
          <w:rFonts w:ascii="Times New Roman" w:hAnsi="Times New Roman"/>
          <w:sz w:val="22"/>
          <w:szCs w:val="22"/>
          <w:lang w:val="en-US"/>
        </w:rPr>
        <w:t>4405</w:t>
      </w:r>
      <w:r w:rsidR="007E5223" w:rsidRPr="007E5223">
        <w:rPr>
          <w:rFonts w:ascii="Times New Roman" w:hAnsi="Times New Roman"/>
          <w:sz w:val="22"/>
          <w:szCs w:val="22"/>
          <w:lang w:val="en-US"/>
        </w:rPr>
        <w:t xml:space="preserve"> transitions, </w:t>
      </w:r>
      <w:r w:rsidR="00535A04">
        <w:rPr>
          <w:rFonts w:ascii="Times New Roman" w:hAnsi="Times New Roman"/>
          <w:sz w:val="22"/>
          <w:szCs w:val="22"/>
          <w:lang w:val="en-US"/>
        </w:rPr>
        <w:t>1079</w:t>
      </w:r>
      <w:r w:rsidR="007E5223" w:rsidRPr="007E522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E5223" w:rsidRPr="007E5223">
        <w:rPr>
          <w:rFonts w:ascii="Times New Roman" w:hAnsi="Times New Roman"/>
          <w:sz w:val="22"/>
          <w:szCs w:val="22"/>
          <w:lang w:val="en-US"/>
        </w:rPr>
        <w:t>transvertions</w:t>
      </w:r>
      <w:proofErr w:type="spellEnd"/>
      <w:r w:rsidR="00A11B07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535A04">
        <w:rPr>
          <w:rFonts w:ascii="Times New Roman" w:hAnsi="Times New Roman"/>
          <w:sz w:val="22"/>
          <w:szCs w:val="22"/>
          <w:lang w:val="en-US"/>
        </w:rPr>
        <w:t>21</w:t>
      </w:r>
      <w:r w:rsidR="0010068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11B07">
        <w:rPr>
          <w:rFonts w:ascii="Times New Roman" w:hAnsi="Times New Roman"/>
          <w:sz w:val="22"/>
          <w:szCs w:val="22"/>
          <w:lang w:val="en-US"/>
        </w:rPr>
        <w:t>transitions/</w:t>
      </w:r>
      <w:r w:rsidR="00A11B07" w:rsidRPr="00945E8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A11B07" w:rsidRPr="007E5223">
        <w:rPr>
          <w:rFonts w:ascii="Times New Roman" w:hAnsi="Times New Roman"/>
          <w:sz w:val="22"/>
          <w:szCs w:val="22"/>
          <w:lang w:val="en-US"/>
        </w:rPr>
        <w:t>transvertions</w:t>
      </w:r>
      <w:proofErr w:type="spellEnd"/>
      <w:r w:rsidR="0010068B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10068B" w:rsidRPr="00A11B07">
        <w:rPr>
          <w:rFonts w:ascii="Times New Roman" w:hAnsi="Times New Roman"/>
          <w:sz w:val="22"/>
          <w:szCs w:val="22"/>
          <w:lang w:val="en-US"/>
        </w:rPr>
        <w:t>due to the presence of nucleotide ambiguity</w:t>
      </w:r>
      <w:r w:rsidR="007E5223" w:rsidRPr="007E5223">
        <w:rPr>
          <w:rFonts w:ascii="Times New Roman" w:hAnsi="Times New Roman"/>
          <w:sz w:val="22"/>
          <w:szCs w:val="22"/>
          <w:lang w:val="en-US"/>
        </w:rPr>
        <w:t>)</w:t>
      </w:r>
      <w:r w:rsidR="006D5739">
        <w:rPr>
          <w:rFonts w:ascii="Times New Roman" w:hAnsi="Times New Roman"/>
          <w:sz w:val="22"/>
          <w:szCs w:val="22"/>
          <w:lang w:val="en-US"/>
        </w:rPr>
        <w:t xml:space="preserve">), 310 </w:t>
      </w:r>
      <w:proofErr w:type="spellStart"/>
      <w:r w:rsidR="006D5739">
        <w:rPr>
          <w:rFonts w:ascii="Times New Roman" w:hAnsi="Times New Roman"/>
          <w:sz w:val="22"/>
          <w:szCs w:val="22"/>
          <w:lang w:val="en-US"/>
        </w:rPr>
        <w:t>indels</w:t>
      </w:r>
      <w:proofErr w:type="spellEnd"/>
      <w:r w:rsidR="006D5739">
        <w:rPr>
          <w:rFonts w:ascii="Times New Roman" w:hAnsi="Times New Roman"/>
          <w:sz w:val="22"/>
          <w:szCs w:val="22"/>
          <w:lang w:val="en-US"/>
        </w:rPr>
        <w:t xml:space="preserve"> (172 deletions, 138</w:t>
      </w:r>
      <w:r w:rsidR="0010068B">
        <w:rPr>
          <w:rFonts w:ascii="Times New Roman" w:hAnsi="Times New Roman"/>
          <w:sz w:val="22"/>
          <w:szCs w:val="22"/>
          <w:lang w:val="en-US"/>
        </w:rPr>
        <w:t xml:space="preserve"> insertions). </w:t>
      </w:r>
    </w:p>
    <w:p w14:paraId="0F70AA4E" w14:textId="5E8BCD71" w:rsidR="0010068B" w:rsidRPr="007E5223" w:rsidRDefault="0010068B" w:rsidP="001006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10068B">
        <w:rPr>
          <w:rFonts w:ascii="Times New Roman" w:hAnsi="Times New Roman"/>
          <w:b/>
          <w:sz w:val="22"/>
          <w:szCs w:val="22"/>
          <w:lang w:val="en-US"/>
        </w:rPr>
        <w:t>HmtDB</w:t>
      </w:r>
      <w:proofErr w:type="spellEnd"/>
      <w:r w:rsidRPr="0010068B">
        <w:rPr>
          <w:rFonts w:ascii="Times New Roman" w:hAnsi="Times New Roman"/>
          <w:b/>
          <w:sz w:val="22"/>
          <w:szCs w:val="22"/>
          <w:lang w:val="en-US"/>
        </w:rPr>
        <w:t xml:space="preserve"> RSRS tracks</w:t>
      </w:r>
      <w:r w:rsidR="006D5739">
        <w:rPr>
          <w:rFonts w:ascii="Times New Roman" w:hAnsi="Times New Roman"/>
          <w:sz w:val="22"/>
          <w:szCs w:val="22"/>
          <w:lang w:val="en-US"/>
        </w:rPr>
        <w:t>: 16370</w:t>
      </w:r>
      <w:r w:rsidRPr="007E5223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nucleotide variants within </w:t>
      </w:r>
      <w:r w:rsidR="003F502C">
        <w:rPr>
          <w:rFonts w:ascii="Times New Roman" w:hAnsi="Times New Roman"/>
          <w:sz w:val="22"/>
          <w:szCs w:val="22"/>
          <w:lang w:val="en-US"/>
        </w:rPr>
        <w:t>28196</w:t>
      </w:r>
      <w:r w:rsidRPr="007E5223">
        <w:rPr>
          <w:rFonts w:ascii="Times New Roman" w:hAnsi="Times New Roman"/>
          <w:sz w:val="22"/>
          <w:szCs w:val="22"/>
          <w:lang w:val="en-US"/>
        </w:rPr>
        <w:t xml:space="preserve"> healthy genomes: </w:t>
      </w:r>
      <w:r w:rsidR="006D5739">
        <w:rPr>
          <w:rFonts w:ascii="Times New Roman" w:hAnsi="Times New Roman"/>
          <w:sz w:val="22"/>
          <w:szCs w:val="22"/>
          <w:lang w:val="en-US"/>
        </w:rPr>
        <w:t>15090</w:t>
      </w:r>
      <w:r w:rsidRPr="007E5223">
        <w:rPr>
          <w:rFonts w:ascii="Times New Roman" w:hAnsi="Times New Roman"/>
          <w:sz w:val="22"/>
          <w:szCs w:val="22"/>
          <w:lang w:val="en-US"/>
        </w:rPr>
        <w:t xml:space="preserve"> SNPs (</w:t>
      </w:r>
      <w:r w:rsidR="006D5739">
        <w:rPr>
          <w:rFonts w:ascii="Times New Roman" w:hAnsi="Times New Roman"/>
          <w:sz w:val="22"/>
          <w:szCs w:val="22"/>
          <w:lang w:val="en-US"/>
        </w:rPr>
        <w:t>10956 transitions, 4055</w:t>
      </w:r>
      <w:r w:rsidRPr="007E522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transvertions</w:t>
      </w:r>
      <w:proofErr w:type="spellEnd"/>
      <w:r w:rsidR="006D5739">
        <w:rPr>
          <w:rFonts w:ascii="Times New Roman" w:hAnsi="Times New Roman"/>
          <w:sz w:val="22"/>
          <w:szCs w:val="22"/>
          <w:lang w:val="en-US"/>
        </w:rPr>
        <w:t xml:space="preserve">, 79 </w:t>
      </w:r>
      <w:r>
        <w:rPr>
          <w:rFonts w:ascii="Times New Roman" w:hAnsi="Times New Roman"/>
          <w:sz w:val="22"/>
          <w:szCs w:val="22"/>
          <w:lang w:val="en-US"/>
        </w:rPr>
        <w:t>transitions/</w:t>
      </w:r>
      <w:r w:rsidRPr="00945E8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transvertions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(</w:t>
      </w:r>
      <w:r w:rsidRPr="00A11B07">
        <w:rPr>
          <w:rFonts w:ascii="Times New Roman" w:hAnsi="Times New Roman"/>
          <w:sz w:val="22"/>
          <w:szCs w:val="22"/>
          <w:lang w:val="en-US"/>
        </w:rPr>
        <w:t>due to the presence of nucleotide ambiguity</w:t>
      </w:r>
      <w:r w:rsidRPr="007E5223">
        <w:rPr>
          <w:rFonts w:ascii="Times New Roman" w:hAnsi="Times New Roman"/>
          <w:sz w:val="22"/>
          <w:szCs w:val="22"/>
          <w:lang w:val="en-US"/>
        </w:rPr>
        <w:t>)</w:t>
      </w:r>
      <w:r>
        <w:rPr>
          <w:rFonts w:ascii="Times New Roman" w:hAnsi="Times New Roman"/>
          <w:sz w:val="22"/>
          <w:szCs w:val="22"/>
          <w:lang w:val="en-US"/>
        </w:rPr>
        <w:t>)</w:t>
      </w:r>
      <w:r w:rsidRPr="007E5223"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>1</w:t>
      </w:r>
      <w:r w:rsidR="006D5739">
        <w:rPr>
          <w:rFonts w:ascii="Times New Roman" w:hAnsi="Times New Roman"/>
          <w:sz w:val="22"/>
          <w:szCs w:val="22"/>
          <w:lang w:val="en-US"/>
        </w:rPr>
        <w:t xml:space="preserve">280 </w:t>
      </w:r>
      <w:proofErr w:type="spellStart"/>
      <w:r w:rsidR="006D5739">
        <w:rPr>
          <w:rFonts w:ascii="Times New Roman" w:hAnsi="Times New Roman"/>
          <w:sz w:val="22"/>
          <w:szCs w:val="22"/>
          <w:lang w:val="en-US"/>
        </w:rPr>
        <w:t>indels</w:t>
      </w:r>
      <w:proofErr w:type="spellEnd"/>
      <w:r w:rsidR="006D5739">
        <w:rPr>
          <w:rFonts w:ascii="Times New Roman" w:hAnsi="Times New Roman"/>
          <w:sz w:val="22"/>
          <w:szCs w:val="22"/>
          <w:lang w:val="en-US"/>
        </w:rPr>
        <w:t xml:space="preserve"> (694 deletions, </w:t>
      </w:r>
      <w:r>
        <w:rPr>
          <w:rFonts w:ascii="Times New Roman" w:hAnsi="Times New Roman"/>
          <w:sz w:val="22"/>
          <w:szCs w:val="22"/>
          <w:lang w:val="en-US"/>
        </w:rPr>
        <w:t>58</w:t>
      </w:r>
      <w:r w:rsidR="006D5739">
        <w:rPr>
          <w:rFonts w:ascii="Times New Roman" w:hAnsi="Times New Roman"/>
          <w:sz w:val="22"/>
          <w:szCs w:val="22"/>
          <w:lang w:val="en-US"/>
        </w:rPr>
        <w:t>6</w:t>
      </w:r>
      <w:r w:rsidRPr="007E5223">
        <w:rPr>
          <w:rFonts w:ascii="Times New Roman" w:hAnsi="Times New Roman"/>
          <w:sz w:val="22"/>
          <w:szCs w:val="22"/>
          <w:lang w:val="en-US"/>
        </w:rPr>
        <w:t xml:space="preserve"> insertions</w:t>
      </w:r>
      <w:r>
        <w:rPr>
          <w:rFonts w:ascii="Times New Roman" w:hAnsi="Times New Roman"/>
          <w:sz w:val="22"/>
          <w:szCs w:val="22"/>
          <w:lang w:val="en-US"/>
        </w:rPr>
        <w:t xml:space="preserve">). </w:t>
      </w:r>
    </w:p>
    <w:p w14:paraId="70423877" w14:textId="121478FE" w:rsidR="0010068B" w:rsidRPr="007E5223" w:rsidRDefault="006D5739" w:rsidP="001006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6125</w:t>
      </w:r>
      <w:r w:rsidR="0010068B" w:rsidRPr="007E5223">
        <w:rPr>
          <w:rFonts w:ascii="Times New Roman" w:hAnsi="Times New Roman"/>
          <w:sz w:val="22"/>
          <w:szCs w:val="22"/>
          <w:lang w:val="en-US"/>
        </w:rPr>
        <w:t xml:space="preserve"> nucleotide variants within </w:t>
      </w:r>
      <w:r w:rsidR="003F502C">
        <w:rPr>
          <w:rFonts w:ascii="Times New Roman" w:hAnsi="Times New Roman"/>
          <w:sz w:val="22"/>
          <w:szCs w:val="22"/>
          <w:lang w:val="en-US"/>
        </w:rPr>
        <w:t>3539</w:t>
      </w:r>
      <w:r w:rsidR="0010068B" w:rsidRPr="007E5223">
        <w:rPr>
          <w:rFonts w:ascii="Times New Roman" w:hAnsi="Times New Roman"/>
          <w:sz w:val="22"/>
          <w:szCs w:val="22"/>
          <w:lang w:val="en-US"/>
        </w:rPr>
        <w:t xml:space="preserve"> diseased genomes: </w:t>
      </w:r>
      <w:r>
        <w:rPr>
          <w:rFonts w:ascii="Times New Roman" w:hAnsi="Times New Roman"/>
          <w:sz w:val="22"/>
          <w:szCs w:val="22"/>
          <w:lang w:val="en-US"/>
        </w:rPr>
        <w:t>5505</w:t>
      </w:r>
      <w:r w:rsidR="0010068B" w:rsidRPr="007E5223">
        <w:rPr>
          <w:rFonts w:ascii="Times New Roman" w:hAnsi="Times New Roman"/>
          <w:sz w:val="22"/>
          <w:szCs w:val="22"/>
          <w:lang w:val="en-US"/>
        </w:rPr>
        <w:t xml:space="preserve"> SNPs (</w:t>
      </w:r>
      <w:r>
        <w:rPr>
          <w:rFonts w:ascii="Times New Roman" w:hAnsi="Times New Roman"/>
          <w:sz w:val="22"/>
          <w:szCs w:val="22"/>
          <w:lang w:val="en-US"/>
        </w:rPr>
        <w:t>4405</w:t>
      </w:r>
      <w:r w:rsidR="0010068B" w:rsidRPr="007E5223">
        <w:rPr>
          <w:rFonts w:ascii="Times New Roman" w:hAnsi="Times New Roman"/>
          <w:sz w:val="22"/>
          <w:szCs w:val="22"/>
          <w:lang w:val="en-US"/>
        </w:rPr>
        <w:t xml:space="preserve"> transitions, </w:t>
      </w:r>
      <w:r w:rsidR="00C039C0">
        <w:rPr>
          <w:rFonts w:ascii="Times New Roman" w:hAnsi="Times New Roman"/>
          <w:sz w:val="22"/>
          <w:szCs w:val="22"/>
          <w:lang w:val="en-US"/>
        </w:rPr>
        <w:t>1079</w:t>
      </w:r>
      <w:r w:rsidR="0010068B" w:rsidRPr="007E5223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0068B" w:rsidRPr="007E5223">
        <w:rPr>
          <w:rFonts w:ascii="Times New Roman" w:hAnsi="Times New Roman"/>
          <w:sz w:val="22"/>
          <w:szCs w:val="22"/>
          <w:lang w:val="en-US"/>
        </w:rPr>
        <w:t>transvertions</w:t>
      </w:r>
      <w:proofErr w:type="spellEnd"/>
      <w:r w:rsidR="0010068B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C039C0">
        <w:rPr>
          <w:rFonts w:ascii="Times New Roman" w:hAnsi="Times New Roman"/>
          <w:sz w:val="22"/>
          <w:szCs w:val="22"/>
          <w:lang w:val="en-US"/>
        </w:rPr>
        <w:t xml:space="preserve">21 </w:t>
      </w:r>
      <w:r w:rsidR="0010068B">
        <w:rPr>
          <w:rFonts w:ascii="Times New Roman" w:hAnsi="Times New Roman"/>
          <w:sz w:val="22"/>
          <w:szCs w:val="22"/>
          <w:lang w:val="en-US"/>
        </w:rPr>
        <w:t>transitions/</w:t>
      </w:r>
      <w:r w:rsidR="0010068B" w:rsidRPr="00945E80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0068B" w:rsidRPr="007E5223">
        <w:rPr>
          <w:rFonts w:ascii="Times New Roman" w:hAnsi="Times New Roman"/>
          <w:sz w:val="22"/>
          <w:szCs w:val="22"/>
          <w:lang w:val="en-US"/>
        </w:rPr>
        <w:t>transvertions</w:t>
      </w:r>
      <w:proofErr w:type="spellEnd"/>
      <w:r w:rsidR="0010068B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10068B" w:rsidRPr="00A11B07">
        <w:rPr>
          <w:rFonts w:ascii="Times New Roman" w:hAnsi="Times New Roman"/>
          <w:sz w:val="22"/>
          <w:szCs w:val="22"/>
          <w:lang w:val="en-US"/>
        </w:rPr>
        <w:t>due to the presence of nucleotide ambiguity</w:t>
      </w:r>
      <w:r w:rsidR="0010068B" w:rsidRPr="007E5223">
        <w:rPr>
          <w:rFonts w:ascii="Times New Roman" w:hAnsi="Times New Roman"/>
          <w:sz w:val="22"/>
          <w:szCs w:val="22"/>
          <w:lang w:val="en-US"/>
        </w:rPr>
        <w:t>)</w:t>
      </w:r>
      <w:r w:rsidR="00C039C0">
        <w:rPr>
          <w:rFonts w:ascii="Times New Roman" w:hAnsi="Times New Roman"/>
          <w:sz w:val="22"/>
          <w:szCs w:val="22"/>
          <w:lang w:val="en-US"/>
        </w:rPr>
        <w:t>), 620</w:t>
      </w:r>
      <w:r w:rsidR="0010068B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10068B">
        <w:rPr>
          <w:rFonts w:ascii="Times New Roman" w:hAnsi="Times New Roman"/>
          <w:sz w:val="22"/>
          <w:szCs w:val="22"/>
          <w:lang w:val="en-US"/>
        </w:rPr>
        <w:t>indels</w:t>
      </w:r>
      <w:proofErr w:type="spellEnd"/>
      <w:r w:rsidR="0010068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C039C0">
        <w:rPr>
          <w:rFonts w:ascii="Times New Roman" w:hAnsi="Times New Roman"/>
          <w:sz w:val="22"/>
          <w:szCs w:val="22"/>
          <w:lang w:val="en-US"/>
        </w:rPr>
        <w:t>(344 deletions, 276 insertions)</w:t>
      </w:r>
    </w:p>
    <w:p w14:paraId="7B91503D" w14:textId="027537FA" w:rsidR="007E5223" w:rsidRPr="00A51D15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GenBank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 is the reference database for the </w:t>
      </w:r>
      <w:r w:rsidR="00A51D15">
        <w:rPr>
          <w:rFonts w:ascii="Times New Roman" w:hAnsi="Times New Roman"/>
          <w:sz w:val="22"/>
          <w:szCs w:val="22"/>
          <w:lang w:val="en-US"/>
        </w:rPr>
        <w:t xml:space="preserve">majority </w:t>
      </w:r>
      <w:r w:rsidRPr="007E5223">
        <w:rPr>
          <w:rFonts w:ascii="Times New Roman" w:hAnsi="Times New Roman"/>
          <w:sz w:val="22"/>
          <w:szCs w:val="22"/>
          <w:lang w:val="en-US"/>
        </w:rPr>
        <w:t>of healthy and patients’ ge</w:t>
      </w:r>
      <w:r w:rsidR="00A51D15">
        <w:rPr>
          <w:rFonts w:ascii="Times New Roman" w:hAnsi="Times New Roman"/>
          <w:sz w:val="22"/>
          <w:szCs w:val="22"/>
          <w:lang w:val="en-US"/>
        </w:rPr>
        <w:t xml:space="preserve">nomes, with the exception of </w:t>
      </w:r>
      <w:r w:rsidR="00A51D15">
        <w:rPr>
          <w:rFonts w:ascii="Times New Roman" w:hAnsi="Times New Roman"/>
          <w:sz w:val="22"/>
          <w:szCs w:val="22"/>
        </w:rPr>
        <w:t>1</w:t>
      </w:r>
      <w:r w:rsidR="00A51D15" w:rsidRPr="00A51D15">
        <w:rPr>
          <w:rFonts w:ascii="Times New Roman" w:hAnsi="Times New Roman"/>
          <w:sz w:val="22"/>
          <w:szCs w:val="22"/>
        </w:rPr>
        <w:t>427 mitochondrial genomes reconstructed as off-t</w:t>
      </w:r>
      <w:r w:rsidR="00A51D15">
        <w:rPr>
          <w:rFonts w:ascii="Times New Roman" w:hAnsi="Times New Roman"/>
          <w:sz w:val="22"/>
          <w:szCs w:val="22"/>
        </w:rPr>
        <w:t>arget sequences from exome data</w:t>
      </w:r>
      <w:r w:rsidR="00A51D15" w:rsidRPr="00A51D15">
        <w:rPr>
          <w:rFonts w:ascii="Times New Roman" w:hAnsi="Times New Roman"/>
          <w:sz w:val="22"/>
          <w:szCs w:val="22"/>
        </w:rPr>
        <w:t xml:space="preserve"> generated by the 1000 Genomes Project </w:t>
      </w:r>
      <w:r w:rsidR="00A51D15">
        <w:rPr>
          <w:rFonts w:ascii="Times New Roman" w:hAnsi="Times New Roman"/>
          <w:sz w:val="22"/>
          <w:szCs w:val="22"/>
        </w:rPr>
        <w:t xml:space="preserve">and </w:t>
      </w:r>
      <w:r w:rsidR="00A51D15">
        <w:rPr>
          <w:rFonts w:ascii="Times New Roman" w:hAnsi="Times New Roman"/>
          <w:sz w:val="22"/>
          <w:szCs w:val="22"/>
          <w:lang w:val="en-US"/>
        </w:rPr>
        <w:t>263</w:t>
      </w:r>
      <w:r w:rsidRPr="007E5223">
        <w:rPr>
          <w:rFonts w:ascii="Times New Roman" w:hAnsi="Times New Roman"/>
          <w:sz w:val="22"/>
          <w:szCs w:val="22"/>
          <w:lang w:val="en-US"/>
        </w:rPr>
        <w:t xml:space="preserve"> diseased genomes </w:t>
      </w:r>
      <w:r w:rsidR="00A51D15">
        <w:rPr>
          <w:rFonts w:ascii="Times New Roman" w:hAnsi="Times New Roman"/>
          <w:sz w:val="22"/>
          <w:szCs w:val="22"/>
          <w:lang w:val="en-US"/>
        </w:rPr>
        <w:t>directly deposited</w:t>
      </w:r>
      <w:r w:rsidRPr="007E5223">
        <w:rPr>
          <w:rFonts w:ascii="Times New Roman" w:hAnsi="Times New Roman"/>
          <w:sz w:val="22"/>
          <w:szCs w:val="22"/>
          <w:lang w:val="en-US"/>
        </w:rPr>
        <w:t xml:space="preserve"> in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HmtDB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>.</w:t>
      </w:r>
    </w:p>
    <w:p w14:paraId="10C031F8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3849A9AC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7E5223">
        <w:rPr>
          <w:rFonts w:ascii="Times New Roman" w:hAnsi="Times New Roman"/>
          <w:b/>
          <w:sz w:val="26"/>
          <w:szCs w:val="26"/>
          <w:lang w:val="en-US"/>
        </w:rPr>
        <w:t>MSeqDR</w:t>
      </w:r>
      <w:proofErr w:type="spellEnd"/>
      <w:r w:rsidRPr="007E5223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7E5223">
        <w:rPr>
          <w:rFonts w:ascii="Times New Roman" w:hAnsi="Times New Roman"/>
          <w:b/>
          <w:sz w:val="26"/>
          <w:szCs w:val="26"/>
          <w:lang w:val="en-US"/>
        </w:rPr>
        <w:t>GBrowse</w:t>
      </w:r>
      <w:proofErr w:type="spellEnd"/>
      <w:r w:rsidRPr="007E5223">
        <w:rPr>
          <w:rFonts w:ascii="Times New Roman" w:hAnsi="Times New Roman"/>
          <w:b/>
          <w:sz w:val="26"/>
          <w:szCs w:val="26"/>
          <w:lang w:val="en-US"/>
        </w:rPr>
        <w:t xml:space="preserve"> display conventions</w:t>
      </w:r>
    </w:p>
    <w:p w14:paraId="7CFEF642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</w:pPr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Name</w:t>
      </w:r>
    </w:p>
    <w:p w14:paraId="5C3A4CD1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Variant name, followed by indication of the reference sequence used (</w:t>
      </w:r>
      <w:proofErr w:type="spellStart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rCRS</w:t>
      </w:r>
      <w:proofErr w:type="spellEnd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 xml:space="preserve"> or RSRS) and the dataset where the variant was annotated (H=healthy, D=disease).</w:t>
      </w:r>
    </w:p>
    <w:p w14:paraId="43A1DE18" w14:textId="2874E901" w:rsidR="007E5223" w:rsidRPr="007E5223" w:rsidRDefault="00202BCB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b/>
          <w:i/>
          <w:color w:val="000000"/>
          <w:sz w:val="22"/>
          <w:szCs w:val="22"/>
          <w:lang w:val="en-US"/>
        </w:rPr>
        <w:t>Variant_</w:t>
      </w:r>
      <w:r w:rsidR="007E5223" w:rsidRPr="007E5223">
        <w:rPr>
          <w:rFonts w:ascii="Times New Roman" w:hAnsi="Times New Roman"/>
          <w:b/>
          <w:i/>
          <w:color w:val="000000"/>
          <w:sz w:val="22"/>
          <w:szCs w:val="22"/>
          <w:lang w:val="en-US"/>
        </w:rPr>
        <w:t>Type</w:t>
      </w:r>
      <w:proofErr w:type="spellEnd"/>
    </w:p>
    <w:p w14:paraId="33D21556" w14:textId="3BC29025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 xml:space="preserve">Event type: </w:t>
      </w:r>
      <w:proofErr w:type="spellStart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Ts</w:t>
      </w:r>
      <w:proofErr w:type="spellEnd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 xml:space="preserve">=transition, </w:t>
      </w:r>
      <w:proofErr w:type="spellStart"/>
      <w:proofErr w:type="gramStart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Tv</w:t>
      </w:r>
      <w:proofErr w:type="spellEnd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=</w:t>
      </w:r>
      <w:proofErr w:type="spellStart"/>
      <w:proofErr w:type="gramEnd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transversion</w:t>
      </w:r>
      <w:proofErr w:type="spellEnd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, ins=insertion, del=deletion</w:t>
      </w:r>
      <w:r w:rsidR="000279F0">
        <w:rPr>
          <w:rFonts w:ascii="Times New Roman" w:hAnsi="Times New Roman"/>
          <w:color w:val="000000"/>
          <w:sz w:val="22"/>
          <w:szCs w:val="22"/>
          <w:lang w:val="en-US"/>
        </w:rPr>
        <w:t>.</w:t>
      </w:r>
    </w:p>
    <w:p w14:paraId="1D895D2F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</w:pPr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Source</w:t>
      </w:r>
    </w:p>
    <w:p w14:paraId="39C89EDA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7E5223">
        <w:rPr>
          <w:rFonts w:ascii="Times New Roman" w:hAnsi="Times New Roman"/>
          <w:sz w:val="22"/>
          <w:szCs w:val="22"/>
          <w:lang w:val="en-US"/>
        </w:rPr>
        <w:t>Name of the track (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HmtDB_rCRS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 or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HmtDB_RSRS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>).</w:t>
      </w:r>
      <w:proofErr w:type="gramEnd"/>
    </w:p>
    <w:p w14:paraId="6082F5AC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</w:pPr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Position</w:t>
      </w:r>
    </w:p>
    <w:p w14:paraId="1B17B794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1-based start and end coordinates of the variant in mitochondrial genome or 5’-3’ flanking positions for insertions.</w:t>
      </w:r>
    </w:p>
    <w:p w14:paraId="77EA7869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z w:val="22"/>
          <w:szCs w:val="22"/>
          <w:lang w:val="en-US"/>
        </w:rPr>
      </w:pPr>
      <w:r w:rsidRPr="007E5223">
        <w:rPr>
          <w:rFonts w:ascii="Times New Roman" w:eastAsia="Times New Roman" w:hAnsi="Times New Roman"/>
          <w:b/>
          <w:i/>
          <w:sz w:val="22"/>
          <w:szCs w:val="22"/>
          <w:lang w:val="en-US"/>
        </w:rPr>
        <w:t>Score</w:t>
      </w:r>
    </w:p>
    <w:p w14:paraId="791A5791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proofErr w:type="gramStart"/>
      <w:r w:rsidRPr="007E5223">
        <w:rPr>
          <w:rFonts w:ascii="Times New Roman" w:hAnsi="Times New Roman"/>
          <w:sz w:val="22"/>
          <w:szCs w:val="22"/>
          <w:lang w:val="en-US"/>
        </w:rPr>
        <w:t>Same value of “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NT_variability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>” field.</w:t>
      </w:r>
      <w:proofErr w:type="gramEnd"/>
    </w:p>
    <w:p w14:paraId="029E4699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</w:pPr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Reference</w:t>
      </w:r>
    </w:p>
    <w:p w14:paraId="0D0704DF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 w:rsidRPr="007E5223">
        <w:rPr>
          <w:rFonts w:ascii="Times New Roman" w:hAnsi="Times New Roman"/>
          <w:sz w:val="22"/>
          <w:szCs w:val="22"/>
          <w:lang w:val="en-US"/>
        </w:rPr>
        <w:t>Mitochondrial genome reference sequence (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rCRS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 or RSRS).</w:t>
      </w:r>
    </w:p>
    <w:p w14:paraId="615295B6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Phenotype</w:t>
      </w:r>
    </w:p>
    <w:p w14:paraId="38464884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lastRenderedPageBreak/>
        <w:t xml:space="preserve">Healthy or Disease. Pathological phenotype is specified for variants annotated exclusively in the </w:t>
      </w:r>
      <w:proofErr w:type="spellStart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patients’dataset</w:t>
      </w:r>
      <w:proofErr w:type="spellEnd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.</w:t>
      </w:r>
    </w:p>
    <w:p w14:paraId="7B58BF99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</w:pPr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Length</w:t>
      </w:r>
    </w:p>
    <w:p w14:paraId="16BB5402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7E5223">
        <w:rPr>
          <w:rFonts w:ascii="Times New Roman" w:hAnsi="Times New Roman"/>
          <w:sz w:val="22"/>
          <w:szCs w:val="22"/>
          <w:lang w:val="en-US"/>
        </w:rPr>
        <w:t>Number of altered bases in the mitochondrial genome.</w:t>
      </w:r>
      <w:proofErr w:type="gramEnd"/>
    </w:p>
    <w:p w14:paraId="2B929B48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Locus</w:t>
      </w:r>
    </w:p>
    <w:p w14:paraId="325BE8BB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7E5223">
        <w:rPr>
          <w:rFonts w:ascii="Times New Roman" w:hAnsi="Times New Roman"/>
          <w:sz w:val="22"/>
          <w:szCs w:val="22"/>
          <w:lang w:val="en-US"/>
        </w:rPr>
        <w:t>Mitochondrial gene or region.</w:t>
      </w:r>
      <w:proofErr w:type="gramEnd"/>
    </w:p>
    <w:p w14:paraId="0AFC2408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proofErr w:type="spellStart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NT_var</w:t>
      </w:r>
      <w:proofErr w:type="spellEnd"/>
    </w:p>
    <w:p w14:paraId="05FEEF12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SiteVar</w:t>
      </w:r>
      <w:proofErr w:type="spellEnd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 xml:space="preserve"> variability value calculated on complete healthy or diseased genomes.</w:t>
      </w:r>
    </w:p>
    <w:p w14:paraId="202646CE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</w:pPr>
      <w:proofErr w:type="spellStart"/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Cod_Pos</w:t>
      </w:r>
      <w:proofErr w:type="spellEnd"/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*</w:t>
      </w:r>
    </w:p>
    <w:p w14:paraId="77770853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proofErr w:type="gramStart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Nucleotide position within the codon.</w:t>
      </w:r>
      <w:proofErr w:type="gramEnd"/>
    </w:p>
    <w:p w14:paraId="2C8760E6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</w:pPr>
      <w:proofErr w:type="spellStart"/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AA_change</w:t>
      </w:r>
      <w:proofErr w:type="spellEnd"/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*</w:t>
      </w:r>
    </w:p>
    <w:p w14:paraId="609D1E10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proofErr w:type="gramStart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Type of amino acid change (synonymous or non-synonymous mismatch, STOP-loss, STOP-gain, </w:t>
      </w:r>
      <w:proofErr w:type="spellStart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frameshift</w:t>
      </w:r>
      <w:proofErr w:type="spellEnd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or in frame </w:t>
      </w:r>
      <w:proofErr w:type="spellStart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indel</w:t>
      </w:r>
      <w:proofErr w:type="spellEnd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).</w:t>
      </w:r>
      <w:proofErr w:type="gramEnd"/>
    </w:p>
    <w:p w14:paraId="069722BC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</w:pPr>
      <w:proofErr w:type="spellStart"/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AA_var</w:t>
      </w:r>
      <w:proofErr w:type="spellEnd"/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*</w:t>
      </w:r>
    </w:p>
    <w:p w14:paraId="6F1C2E62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proofErr w:type="spellStart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MitVarProt</w:t>
      </w:r>
      <w:proofErr w:type="spellEnd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amino acid variability value calculated on complete healthy genomes.</w:t>
      </w:r>
    </w:p>
    <w:p w14:paraId="272C4643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proofErr w:type="spellStart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AA_var_InterMam</w:t>
      </w:r>
      <w:proofErr w:type="spellEnd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*</w:t>
      </w:r>
    </w:p>
    <w:p w14:paraId="6890381A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proofErr w:type="gramStart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MitVarProt</w:t>
      </w:r>
      <w:proofErr w:type="spellEnd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amino acid variability value</w:t>
      </w:r>
      <w:r w:rsidRPr="007E5223">
        <w:rPr>
          <w:rFonts w:ascii="Times New Roman" w:hAnsi="Times New Roman"/>
          <w:sz w:val="22"/>
          <w:szCs w:val="22"/>
          <w:lang w:val="en-US"/>
        </w:rPr>
        <w:t xml:space="preserve"> for 200 mammals annotated in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GenBank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>.</w:t>
      </w:r>
      <w:proofErr w:type="gramEnd"/>
    </w:p>
    <w:p w14:paraId="7FC52D62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proofErr w:type="spellStart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AA_var_Af</w:t>
      </w:r>
      <w:proofErr w:type="spellEnd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*</w:t>
      </w:r>
    </w:p>
    <w:p w14:paraId="4A6B170A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MitVarProt</w:t>
      </w:r>
      <w:proofErr w:type="spellEnd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amino acid variability value</w:t>
      </w:r>
      <w:r w:rsidRPr="007E5223">
        <w:rPr>
          <w:rFonts w:ascii="Times New Roman" w:hAnsi="Times New Roman"/>
          <w:sz w:val="22"/>
          <w:szCs w:val="22"/>
          <w:lang w:val="en-US"/>
        </w:rPr>
        <w:t xml:space="preserve"> calculated on complete healthy genomes of African origin.</w:t>
      </w:r>
    </w:p>
    <w:p w14:paraId="095FC004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proofErr w:type="spellStart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AA_var_Am</w:t>
      </w:r>
      <w:proofErr w:type="spellEnd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*</w:t>
      </w:r>
    </w:p>
    <w:p w14:paraId="395603B7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MitVarProt</w:t>
      </w:r>
      <w:proofErr w:type="spellEnd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amino acid variability value</w:t>
      </w:r>
      <w:r w:rsidRPr="007E5223">
        <w:rPr>
          <w:rFonts w:ascii="Times New Roman" w:hAnsi="Times New Roman"/>
          <w:sz w:val="22"/>
          <w:szCs w:val="22"/>
          <w:lang w:val="en-US"/>
        </w:rPr>
        <w:t xml:space="preserve"> calculated on complete healthy genomes of American origin.</w:t>
      </w:r>
    </w:p>
    <w:p w14:paraId="33D9480A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proofErr w:type="spellStart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AA_var_As</w:t>
      </w:r>
      <w:proofErr w:type="spellEnd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*</w:t>
      </w:r>
    </w:p>
    <w:p w14:paraId="31AD8931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MitVarProt</w:t>
      </w:r>
      <w:proofErr w:type="spellEnd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amino acid variability value</w:t>
      </w:r>
      <w:r w:rsidRPr="007E5223">
        <w:rPr>
          <w:rFonts w:ascii="Times New Roman" w:hAnsi="Times New Roman"/>
          <w:sz w:val="22"/>
          <w:szCs w:val="22"/>
          <w:lang w:val="en-US"/>
        </w:rPr>
        <w:t xml:space="preserve"> calculated on complete healthy genomes of Asian origin.</w:t>
      </w:r>
    </w:p>
    <w:p w14:paraId="6974E34E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proofErr w:type="spellStart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AA_var_Eu</w:t>
      </w:r>
      <w:proofErr w:type="spellEnd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*</w:t>
      </w:r>
    </w:p>
    <w:p w14:paraId="4441249E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MitVarProt</w:t>
      </w:r>
      <w:proofErr w:type="spellEnd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amino acid variability value</w:t>
      </w:r>
      <w:r w:rsidRPr="007E5223">
        <w:rPr>
          <w:rFonts w:ascii="Times New Roman" w:hAnsi="Times New Roman"/>
          <w:sz w:val="22"/>
          <w:szCs w:val="22"/>
          <w:lang w:val="en-US"/>
        </w:rPr>
        <w:t xml:space="preserve"> calculated on complete healthy genomes of European origin.</w:t>
      </w:r>
    </w:p>
    <w:p w14:paraId="12268FDA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proofErr w:type="spellStart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AA_var_Oc</w:t>
      </w:r>
      <w:proofErr w:type="spellEnd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*</w:t>
      </w:r>
    </w:p>
    <w:p w14:paraId="6C69587D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>MitVarProt</w:t>
      </w:r>
      <w:proofErr w:type="spellEnd"/>
      <w:r w:rsidRPr="007E5223">
        <w:rPr>
          <w:rFonts w:ascii="Times New Roman" w:eastAsia="Times New Roman" w:hAnsi="Times New Roman"/>
          <w:color w:val="000000"/>
          <w:sz w:val="22"/>
          <w:szCs w:val="22"/>
          <w:lang w:val="en-US"/>
        </w:rPr>
        <w:t xml:space="preserve"> amino acid variability value</w:t>
      </w:r>
      <w:r w:rsidRPr="007E5223">
        <w:rPr>
          <w:rFonts w:ascii="Times New Roman" w:hAnsi="Times New Roman"/>
          <w:sz w:val="22"/>
          <w:szCs w:val="22"/>
          <w:lang w:val="en-US"/>
        </w:rPr>
        <w:t xml:space="preserve"> calculated on complete healthy genomes of Oceania origin.</w:t>
      </w:r>
    </w:p>
    <w:p w14:paraId="20749964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</w:pPr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AN</w:t>
      </w:r>
    </w:p>
    <w:p w14:paraId="342D4D0C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gramStart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 xml:space="preserve">Link to accession number of each genome in </w:t>
      </w:r>
      <w:proofErr w:type="spellStart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GenBank</w:t>
      </w:r>
      <w:proofErr w:type="spellEnd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 xml:space="preserve"> harboring the variant.</w:t>
      </w:r>
      <w:proofErr w:type="gramEnd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 xml:space="preserve"> PA_* codes correspond to diseased genomes submitted only in </w:t>
      </w:r>
      <w:proofErr w:type="spellStart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HmtDB</w:t>
      </w:r>
      <w:proofErr w:type="spellEnd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.</w:t>
      </w:r>
    </w:p>
    <w:p w14:paraId="48F19648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</w:pPr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PMID</w:t>
      </w:r>
    </w:p>
    <w:p w14:paraId="771F2896" w14:textId="77777777" w:rsid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gramStart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Link to PubMed IDs of relative publications.</w:t>
      </w:r>
      <w:proofErr w:type="gramEnd"/>
    </w:p>
    <w:p w14:paraId="46643BA9" w14:textId="77777777" w:rsidR="00202BCB" w:rsidRDefault="00202BCB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b/>
          <w:i/>
          <w:sz w:val="22"/>
          <w:szCs w:val="22"/>
          <w:lang w:val="en-US"/>
        </w:rPr>
        <w:t>ClinVar</w:t>
      </w:r>
      <w:proofErr w:type="spellEnd"/>
    </w:p>
    <w:p w14:paraId="6A25EF83" w14:textId="68EE997C" w:rsidR="00202BCB" w:rsidRDefault="00202BCB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proofErr w:type="spellStart"/>
      <w:r w:rsidRPr="00202BCB">
        <w:rPr>
          <w:rFonts w:ascii="Times New Roman" w:hAnsi="Times New Roman"/>
          <w:sz w:val="22"/>
          <w:szCs w:val="22"/>
          <w:lang w:val="en-US"/>
        </w:rPr>
        <w:t>ClinVar</w:t>
      </w:r>
      <w:proofErr w:type="spellEnd"/>
      <w:r>
        <w:rPr>
          <w:rFonts w:ascii="Times New Roman" w:hAnsi="Times New Roman"/>
          <w:b/>
          <w:i/>
          <w:sz w:val="22"/>
          <w:szCs w:val="22"/>
          <w:lang w:val="en-US"/>
        </w:rPr>
        <w:t xml:space="preserve"> </w:t>
      </w:r>
      <w:r w:rsidRPr="007E5223">
        <w:rPr>
          <w:rFonts w:ascii="Times New Roman" w:hAnsi="Times New Roman"/>
          <w:sz w:val="22"/>
          <w:szCs w:val="22"/>
          <w:lang w:val="en-US"/>
        </w:rPr>
        <w:t>ID of the mutation</w:t>
      </w:r>
    </w:p>
    <w:p w14:paraId="0164F9EF" w14:textId="0E51909F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proofErr w:type="spellStart"/>
      <w:proofErr w:type="gramStart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dbSNP</w:t>
      </w:r>
      <w:proofErr w:type="spellEnd"/>
      <w:proofErr w:type="gramEnd"/>
    </w:p>
    <w:p w14:paraId="19D4E79F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proofErr w:type="gramStart"/>
      <w:r w:rsidRPr="007E5223">
        <w:rPr>
          <w:rFonts w:ascii="Times New Roman" w:hAnsi="Times New Roman"/>
          <w:sz w:val="22"/>
          <w:szCs w:val="22"/>
          <w:lang w:val="en-US"/>
        </w:rPr>
        <w:t>dbSNP</w:t>
      </w:r>
      <w:proofErr w:type="spellEnd"/>
      <w:proofErr w:type="gramEnd"/>
      <w:r w:rsidRPr="007E5223">
        <w:rPr>
          <w:rFonts w:ascii="Times New Roman" w:hAnsi="Times New Roman"/>
          <w:sz w:val="22"/>
          <w:szCs w:val="22"/>
          <w:lang w:val="en-US"/>
        </w:rPr>
        <w:t xml:space="preserve"> ID of the mutation.</w:t>
      </w:r>
    </w:p>
    <w:p w14:paraId="17C66F2B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2"/>
          <w:szCs w:val="22"/>
          <w:lang w:val="en-US"/>
        </w:rPr>
      </w:pPr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OMIM</w:t>
      </w:r>
    </w:p>
    <w:p w14:paraId="32A390A3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E5223">
        <w:rPr>
          <w:rFonts w:ascii="Times New Roman" w:hAnsi="Times New Roman"/>
          <w:sz w:val="22"/>
          <w:szCs w:val="22"/>
          <w:lang w:val="en-US"/>
        </w:rPr>
        <w:t>OMIM ID of the mutation.</w:t>
      </w:r>
    </w:p>
    <w:p w14:paraId="47F08E66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proofErr w:type="spellStart"/>
      <w:r w:rsidRPr="007E5223">
        <w:rPr>
          <w:rFonts w:ascii="Times New Roman" w:hAnsi="Times New Roman"/>
          <w:b/>
          <w:i/>
          <w:sz w:val="22"/>
          <w:szCs w:val="22"/>
          <w:lang w:val="en-US"/>
        </w:rPr>
        <w:t>gbrowse_dbid</w:t>
      </w:r>
      <w:proofErr w:type="spellEnd"/>
    </w:p>
    <w:p w14:paraId="7293C4B1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spellStart"/>
      <w:proofErr w:type="gramStart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annotations:</w:t>
      </w:r>
      <w:proofErr w:type="gramEnd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database</w:t>
      </w:r>
      <w:proofErr w:type="spellEnd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.</w:t>
      </w:r>
    </w:p>
    <w:p w14:paraId="018067E1" w14:textId="77777777" w:rsidR="00202BCB" w:rsidRPr="007E5223" w:rsidRDefault="00202BCB" w:rsidP="00202BC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</w:pPr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AN</w:t>
      </w:r>
    </w:p>
    <w:p w14:paraId="361DE174" w14:textId="77777777" w:rsidR="00202BCB" w:rsidRPr="007E5223" w:rsidRDefault="00202BCB" w:rsidP="00202B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gramStart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 xml:space="preserve">Link to accession number of each genome in </w:t>
      </w:r>
      <w:proofErr w:type="spellStart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GenBank</w:t>
      </w:r>
      <w:proofErr w:type="spellEnd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 xml:space="preserve"> harboring the variant.</w:t>
      </w:r>
      <w:proofErr w:type="gramEnd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 xml:space="preserve"> PA_* codes correspond to diseased genomes submitted only in </w:t>
      </w:r>
      <w:proofErr w:type="spellStart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HmtDB</w:t>
      </w:r>
      <w:proofErr w:type="spellEnd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.</w:t>
      </w:r>
    </w:p>
    <w:p w14:paraId="335EFA41" w14:textId="77777777" w:rsidR="00202BCB" w:rsidRPr="007E5223" w:rsidRDefault="00202BCB" w:rsidP="00202BC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</w:pPr>
      <w:r w:rsidRPr="007E5223">
        <w:rPr>
          <w:rFonts w:ascii="Times New Roman" w:eastAsia="Times New Roman" w:hAnsi="Times New Roman"/>
          <w:b/>
          <w:i/>
          <w:color w:val="000000"/>
          <w:sz w:val="22"/>
          <w:szCs w:val="22"/>
          <w:lang w:val="en-US"/>
        </w:rPr>
        <w:t>PMID</w:t>
      </w:r>
    </w:p>
    <w:p w14:paraId="5DB3701F" w14:textId="77777777" w:rsidR="00202BCB" w:rsidRDefault="00202BCB" w:rsidP="00202B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gramStart"/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Link to PubMed IDs of relative publications.</w:t>
      </w:r>
      <w:proofErr w:type="gramEnd"/>
    </w:p>
    <w:p w14:paraId="29EDB689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</w:p>
    <w:p w14:paraId="1F805F8B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en-US"/>
        </w:rPr>
      </w:pPr>
      <w:r w:rsidRPr="007E5223">
        <w:rPr>
          <w:rFonts w:ascii="Times New Roman" w:hAnsi="Times New Roman"/>
          <w:color w:val="000000"/>
          <w:sz w:val="22"/>
          <w:szCs w:val="22"/>
          <w:lang w:val="en-US"/>
        </w:rPr>
        <w:t>*only for variants in protein encoding genes</w:t>
      </w:r>
    </w:p>
    <w:p w14:paraId="1ADE0CB3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5399E127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en-US"/>
        </w:rPr>
      </w:pPr>
      <w:r w:rsidRPr="007E5223">
        <w:rPr>
          <w:rFonts w:ascii="Times New Roman" w:hAnsi="Times New Roman"/>
          <w:b/>
          <w:sz w:val="26"/>
          <w:szCs w:val="26"/>
          <w:lang w:val="en-US"/>
        </w:rPr>
        <w:t>Credits</w:t>
      </w:r>
    </w:p>
    <w:p w14:paraId="515F82DD" w14:textId="77777777" w:rsidR="007E5223" w:rsidRPr="007E5223" w:rsidRDefault="007E5223" w:rsidP="007E5223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7E5223">
        <w:rPr>
          <w:rFonts w:ascii="Times New Roman" w:hAnsi="Times New Roman"/>
          <w:sz w:val="22"/>
          <w:szCs w:val="22"/>
          <w:lang w:val="en-US"/>
        </w:rPr>
        <w:t xml:space="preserve">These data were provided by Maria Angela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Diroma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 (Department of Biosciences, Biotechnologies and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Biopharmaceutics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University of Bari, Italy), Rosanna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Clima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 (Department of Medical and Surgical Sciences, University of Bologna, Italy) and Marcella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Attimonelli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 (Department of Biosciences, Biotechnologies and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Biopharmaceutics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>, University of Bari, Italy).</w:t>
      </w:r>
    </w:p>
    <w:p w14:paraId="582C2F20" w14:textId="77777777" w:rsidR="007E5223" w:rsidRPr="007E5223" w:rsidRDefault="007E5223" w:rsidP="007E5223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3218CC79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</w:pPr>
      <w:r w:rsidRPr="007E5223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References</w:t>
      </w:r>
    </w:p>
    <w:p w14:paraId="7C68FC5E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E5223">
        <w:rPr>
          <w:rFonts w:ascii="Times New Roman" w:hAnsi="Times New Roman"/>
          <w:sz w:val="22"/>
          <w:szCs w:val="22"/>
          <w:lang w:val="en-US"/>
        </w:rPr>
        <w:t xml:space="preserve">[1]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Rubino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F.,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Piredda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R., Calabrese, F.M., Simone, D., Lang, M., Calabrese, C.,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Petruzzella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V.,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lastRenderedPageBreak/>
        <w:t>Tommaseo-Ponzetta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M.,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Gasparre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G. and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Attimonelli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M. (2012)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HmtDB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a genomic resource for mitochondrion-calculated human variability studies. </w:t>
      </w:r>
      <w:proofErr w:type="gramStart"/>
      <w:r w:rsidRPr="007E5223">
        <w:rPr>
          <w:rFonts w:ascii="Times New Roman" w:hAnsi="Times New Roman"/>
          <w:sz w:val="22"/>
          <w:szCs w:val="22"/>
          <w:lang w:val="en-US"/>
        </w:rPr>
        <w:t>Nucleic Acids Res, 40, D1150-1159.</w:t>
      </w:r>
      <w:proofErr w:type="gramEnd"/>
      <w:r w:rsidRPr="007E5223">
        <w:rPr>
          <w:rFonts w:ascii="Times New Roman" w:hAnsi="Times New Roman"/>
          <w:sz w:val="22"/>
          <w:szCs w:val="22"/>
          <w:lang w:val="en-US"/>
        </w:rPr>
        <w:t xml:space="preserve"> </w:t>
      </w:r>
      <w:hyperlink r:id="rId6" w:history="1">
        <w:r w:rsidRPr="007E5223">
          <w:rPr>
            <w:rStyle w:val="Hyperlink"/>
            <w:rFonts w:ascii="Times New Roman" w:hAnsi="Times New Roman"/>
            <w:sz w:val="22"/>
            <w:szCs w:val="22"/>
            <w:lang w:val="en-US"/>
          </w:rPr>
          <w:t>www.hmtdb.uniba.it</w:t>
        </w:r>
      </w:hyperlink>
    </w:p>
    <w:p w14:paraId="62A6AE1D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E5223">
        <w:rPr>
          <w:rFonts w:ascii="Times New Roman" w:hAnsi="Times New Roman"/>
          <w:sz w:val="22"/>
          <w:szCs w:val="22"/>
          <w:lang w:val="en-US"/>
        </w:rPr>
        <w:t xml:space="preserve">[2]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Pesole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G. and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Saccone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C. (2001) </w:t>
      </w:r>
      <w:proofErr w:type="gramStart"/>
      <w:r w:rsidRPr="007E5223">
        <w:rPr>
          <w:rFonts w:ascii="Times New Roman" w:hAnsi="Times New Roman"/>
          <w:sz w:val="22"/>
          <w:szCs w:val="22"/>
          <w:lang w:val="en-US"/>
        </w:rPr>
        <w:t>A</w:t>
      </w:r>
      <w:proofErr w:type="gramEnd"/>
      <w:r w:rsidRPr="007E5223">
        <w:rPr>
          <w:rFonts w:ascii="Times New Roman" w:hAnsi="Times New Roman"/>
          <w:sz w:val="22"/>
          <w:szCs w:val="22"/>
          <w:lang w:val="en-US"/>
        </w:rPr>
        <w:t xml:space="preserve"> novel method for estimating substitution rate variation among sites in a large dataset of homologous DNA sequences. Genetics, 157, 859-865.</w:t>
      </w:r>
    </w:p>
    <w:p w14:paraId="2F727410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E5223">
        <w:rPr>
          <w:rFonts w:ascii="Times New Roman" w:hAnsi="Times New Roman"/>
          <w:sz w:val="22"/>
          <w:szCs w:val="22"/>
          <w:lang w:val="en-US"/>
        </w:rPr>
        <w:t xml:space="preserve">[3] Horner, D.S. and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Pesole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>, G. (2003) The estimation of relative site variability among aligned homologous protein sequences. Bioinformatics, 19, 600-606.</w:t>
      </w:r>
    </w:p>
    <w:p w14:paraId="54DB685F" w14:textId="77777777" w:rsidR="007E5223" w:rsidRPr="007E5223" w:rsidRDefault="007E5223" w:rsidP="007E52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7E5223">
        <w:rPr>
          <w:rFonts w:ascii="Times New Roman" w:hAnsi="Times New Roman"/>
          <w:sz w:val="22"/>
          <w:szCs w:val="22"/>
          <w:lang w:val="en-US"/>
        </w:rPr>
        <w:t xml:space="preserve">[4] Behar, D.M., van Oven, M.,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Rosset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S.,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Metspalu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M.,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Loogvali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E.L., Silva, N.M.,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Kivisild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T.,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Torroni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A. and </w:t>
      </w:r>
      <w:proofErr w:type="spellStart"/>
      <w:r w:rsidRPr="007E5223">
        <w:rPr>
          <w:rFonts w:ascii="Times New Roman" w:hAnsi="Times New Roman"/>
          <w:sz w:val="22"/>
          <w:szCs w:val="22"/>
          <w:lang w:val="en-US"/>
        </w:rPr>
        <w:t>Villems</w:t>
      </w:r>
      <w:proofErr w:type="spellEnd"/>
      <w:r w:rsidRPr="007E5223">
        <w:rPr>
          <w:rFonts w:ascii="Times New Roman" w:hAnsi="Times New Roman"/>
          <w:sz w:val="22"/>
          <w:szCs w:val="22"/>
          <w:lang w:val="en-US"/>
        </w:rPr>
        <w:t xml:space="preserve">, R. (2012) A "Copernican" reassessment of the human mitochondrial DNA tree from its root. </w:t>
      </w:r>
      <w:proofErr w:type="gramStart"/>
      <w:r w:rsidRPr="007E5223">
        <w:rPr>
          <w:rFonts w:ascii="Times New Roman" w:hAnsi="Times New Roman"/>
          <w:sz w:val="22"/>
          <w:szCs w:val="22"/>
          <w:lang w:val="en-US"/>
        </w:rPr>
        <w:t>Am</w:t>
      </w:r>
      <w:proofErr w:type="gramEnd"/>
      <w:r w:rsidRPr="007E5223">
        <w:rPr>
          <w:rFonts w:ascii="Times New Roman" w:hAnsi="Times New Roman"/>
          <w:sz w:val="22"/>
          <w:szCs w:val="22"/>
          <w:lang w:val="en-US"/>
        </w:rPr>
        <w:t xml:space="preserve"> J Hum Genet, 90, 675-684.</w:t>
      </w:r>
    </w:p>
    <w:p w14:paraId="003FE732" w14:textId="77777777" w:rsidR="007E5223" w:rsidRPr="007E5223" w:rsidRDefault="007E5223" w:rsidP="007E5223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E95251C" w14:textId="77777777" w:rsidR="00EC67D5" w:rsidRPr="007E5223" w:rsidRDefault="00EC67D5" w:rsidP="007E5223">
      <w:pPr>
        <w:jc w:val="both"/>
        <w:rPr>
          <w:rFonts w:ascii="Times New Roman" w:hAnsi="Times New Roman"/>
          <w:sz w:val="22"/>
          <w:szCs w:val="22"/>
        </w:rPr>
      </w:pPr>
    </w:p>
    <w:sectPr w:rsidR="00EC67D5" w:rsidRPr="007E5223" w:rsidSect="008470A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5F1"/>
    <w:multiLevelType w:val="hybridMultilevel"/>
    <w:tmpl w:val="C39E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23"/>
    <w:rsid w:val="000279F0"/>
    <w:rsid w:val="0010068B"/>
    <w:rsid w:val="00136A5E"/>
    <w:rsid w:val="0017528A"/>
    <w:rsid w:val="00202BCB"/>
    <w:rsid w:val="003F502C"/>
    <w:rsid w:val="004972D9"/>
    <w:rsid w:val="00535A04"/>
    <w:rsid w:val="006D5739"/>
    <w:rsid w:val="00703E15"/>
    <w:rsid w:val="007E5223"/>
    <w:rsid w:val="008470AA"/>
    <w:rsid w:val="00945E80"/>
    <w:rsid w:val="00A11B07"/>
    <w:rsid w:val="00A51D15"/>
    <w:rsid w:val="00AB7130"/>
    <w:rsid w:val="00C039C0"/>
    <w:rsid w:val="00EB081E"/>
    <w:rsid w:val="00E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DE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23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522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5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5223"/>
    <w:rPr>
      <w:rFonts w:ascii="Courier" w:eastAsia="MS Mincho" w:hAnsi="Courier" w:cs="Courier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223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522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5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5223"/>
    <w:rPr>
      <w:rFonts w:ascii="Courier" w:eastAsia="MS Mincho" w:hAnsi="Courier" w:cs="Courier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tdb.unib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MEEI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MEEI</dc:creator>
  <cp:lastModifiedBy>Shen, Lishuang</cp:lastModifiedBy>
  <cp:revision>2</cp:revision>
  <dcterms:created xsi:type="dcterms:W3CDTF">2017-01-10T17:26:00Z</dcterms:created>
  <dcterms:modified xsi:type="dcterms:W3CDTF">2017-01-10T17:26:00Z</dcterms:modified>
</cp:coreProperties>
</file>